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33493" w:rsidRPr="00533493" w14:paraId="65AC359E" w14:textId="77777777" w:rsidTr="00533493">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533493" w:rsidRPr="00533493" w14:paraId="6181C3FE"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57E48294"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13D3C2C3"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533493" w:rsidRPr="00533493" w14:paraId="2F4E9155" w14:textId="77777777">
                                <w:trPr>
                                  <w:jc w:val="center"/>
                                </w:trPr>
                                <w:tc>
                                  <w:tcPr>
                                    <w:tcW w:w="0" w:type="auto"/>
                                    <w:vAlign w:val="center"/>
                                    <w:hideMark/>
                                  </w:tcPr>
                                  <w:p w14:paraId="05B94311" w14:textId="77777777" w:rsidR="00533493" w:rsidRPr="00533493" w:rsidRDefault="00533493" w:rsidP="00533493">
                                    <w:pPr>
                                      <w:spacing w:line="225" w:lineRule="atLeast"/>
                                      <w:jc w:val="center"/>
                                      <w:rPr>
                                        <w:rFonts w:ascii="Arial" w:eastAsia="Times New Roman" w:hAnsi="Arial" w:cs="Arial"/>
                                        <w:color w:val="000000"/>
                                        <w:sz w:val="18"/>
                                        <w:szCs w:val="18"/>
                                        <w:lang w:eastAsia="de-DE"/>
                                      </w:rPr>
                                    </w:pPr>
                                    <w:r w:rsidRPr="00533493">
                                      <w:rPr>
                                        <w:rFonts w:ascii="Arial" w:eastAsia="Times New Roman" w:hAnsi="Arial" w:cs="Arial"/>
                                        <w:color w:val="27AE60"/>
                                        <w:sz w:val="30"/>
                                        <w:szCs w:val="30"/>
                                        <w:lang w:eastAsia="de-DE"/>
                                      </w:rPr>
                                      <w:t>Sonstiges</w:t>
                                    </w:r>
                                  </w:p>
                                </w:tc>
                              </w:tr>
                            </w:tbl>
                            <w:p w14:paraId="742A3F85"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3DE3669E"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74725708" w14:textId="77777777" w:rsidR="00533493" w:rsidRPr="00533493" w:rsidRDefault="00533493" w:rsidP="00533493">
                  <w:pPr>
                    <w:jc w:val="center"/>
                    <w:rPr>
                      <w:rFonts w:ascii="Times New Roman" w:eastAsia="Times New Roman" w:hAnsi="Times New Roman" w:cs="Times New Roman"/>
                      <w:lang w:eastAsia="de-DE"/>
                    </w:rPr>
                  </w:pPr>
                </w:p>
              </w:tc>
            </w:tr>
          </w:tbl>
          <w:p w14:paraId="4A48CB4D" w14:textId="77777777" w:rsidR="00533493" w:rsidRPr="00533493" w:rsidRDefault="00533493" w:rsidP="00533493">
            <w:pPr>
              <w:jc w:val="center"/>
              <w:rPr>
                <w:rFonts w:ascii="Helvetica" w:eastAsia="Times New Roman" w:hAnsi="Helvetica" w:cs="Times New Roman"/>
                <w:color w:val="000000"/>
                <w:sz w:val="18"/>
                <w:szCs w:val="18"/>
                <w:lang w:eastAsia="de-DE"/>
              </w:rPr>
            </w:pPr>
          </w:p>
        </w:tc>
      </w:tr>
      <w:tr w:rsidR="00533493" w:rsidRPr="00533493" w14:paraId="3F371644" w14:textId="77777777" w:rsidTr="00533493">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533493" w:rsidRPr="00533493" w14:paraId="50AA18F9"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79599511"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25919421" w14:textId="77777777">
                          <w:trPr>
                            <w:jc w:val="center"/>
                          </w:trPr>
                          <w:tc>
                            <w:tcPr>
                              <w:tcW w:w="0" w:type="auto"/>
                              <w:tcMar>
                                <w:top w:w="150" w:type="dxa"/>
                                <w:left w:w="150" w:type="dxa"/>
                                <w:bottom w:w="150" w:type="dxa"/>
                                <w:right w:w="150" w:type="dxa"/>
                              </w:tcMar>
                              <w:vAlign w:val="center"/>
                              <w:hideMark/>
                            </w:tcPr>
                            <w:tbl>
                              <w:tblPr>
                                <w:tblW w:w="5000" w:type="pct"/>
                                <w:jc w:val="center"/>
                                <w:tblBorders>
                                  <w:top w:val="single" w:sz="12" w:space="0" w:color="0E9958"/>
                                </w:tblBorders>
                                <w:tblCellMar>
                                  <w:left w:w="0" w:type="dxa"/>
                                  <w:right w:w="0" w:type="dxa"/>
                                </w:tblCellMar>
                                <w:tblLook w:val="04A0" w:firstRow="1" w:lastRow="0" w:firstColumn="1" w:lastColumn="0" w:noHBand="0" w:noVBand="1"/>
                              </w:tblPr>
                              <w:tblGrid>
                                <w:gridCol w:w="8100"/>
                              </w:tblGrid>
                              <w:tr w:rsidR="00533493" w:rsidRPr="00533493" w14:paraId="67E944BE" w14:textId="77777777">
                                <w:trPr>
                                  <w:jc w:val="center"/>
                                </w:trPr>
                                <w:tc>
                                  <w:tcPr>
                                    <w:tcW w:w="0" w:type="auto"/>
                                    <w:hideMark/>
                                  </w:tcPr>
                                  <w:p w14:paraId="1A91D6C7" w14:textId="77777777" w:rsidR="00533493" w:rsidRPr="00533493" w:rsidRDefault="00533493" w:rsidP="00533493">
                                    <w:pPr>
                                      <w:jc w:val="center"/>
                                      <w:rPr>
                                        <w:rFonts w:ascii="Times New Roman" w:eastAsia="Times New Roman" w:hAnsi="Times New Roman" w:cs="Times New Roman"/>
                                        <w:sz w:val="20"/>
                                        <w:szCs w:val="20"/>
                                        <w:lang w:eastAsia="de-DE"/>
                                      </w:rPr>
                                    </w:pPr>
                                  </w:p>
                                </w:tc>
                              </w:tr>
                            </w:tbl>
                            <w:p w14:paraId="7AFF0C8E"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5CEC893B"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7CB897F2" w14:textId="77777777" w:rsidR="00533493" w:rsidRPr="00533493" w:rsidRDefault="00533493" w:rsidP="00533493">
                  <w:pPr>
                    <w:jc w:val="center"/>
                    <w:rPr>
                      <w:rFonts w:ascii="Times New Roman" w:eastAsia="Times New Roman" w:hAnsi="Times New Roman" w:cs="Times New Roman"/>
                      <w:lang w:eastAsia="de-DE"/>
                    </w:rPr>
                  </w:pPr>
                </w:p>
              </w:tc>
            </w:tr>
          </w:tbl>
          <w:p w14:paraId="288CDE40" w14:textId="77777777" w:rsidR="00533493" w:rsidRPr="00533493" w:rsidRDefault="00533493" w:rsidP="00533493">
            <w:pPr>
              <w:jc w:val="center"/>
              <w:rPr>
                <w:rFonts w:ascii="Helvetica" w:eastAsia="Times New Roman" w:hAnsi="Helvetica" w:cs="Times New Roman"/>
                <w:color w:val="000000"/>
                <w:sz w:val="18"/>
                <w:szCs w:val="18"/>
                <w:lang w:eastAsia="de-DE"/>
              </w:rPr>
            </w:pPr>
          </w:p>
        </w:tc>
      </w:tr>
      <w:tr w:rsidR="00533493" w:rsidRPr="00533493" w14:paraId="65B7E343" w14:textId="77777777" w:rsidTr="00533493">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533493" w:rsidRPr="00533493" w14:paraId="48077FFE" w14:textId="77777777">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0232100F" w14:textId="77777777">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533493" w:rsidRPr="00533493" w14:paraId="340F286B" w14:textId="77777777">
                          <w:trPr>
                            <w:jc w:val="center"/>
                          </w:trPr>
                          <w:tc>
                            <w:tcPr>
                              <w:tcW w:w="0" w:type="auto"/>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480"/>
                              </w:tblGrid>
                              <w:tr w:rsidR="00533493" w:rsidRPr="00533493" w14:paraId="14441C23" w14:textId="77777777">
                                <w:trPr>
                                  <w:jc w:val="center"/>
                                </w:trPr>
                                <w:tc>
                                  <w:tcPr>
                                    <w:tcW w:w="0" w:type="auto"/>
                                    <w:hideMark/>
                                  </w:tcPr>
                                  <w:p w14:paraId="3F5E0073" w14:textId="68E8463A" w:rsidR="00533493" w:rsidRPr="00533493" w:rsidRDefault="00533493" w:rsidP="00533493">
                                    <w:pPr>
                                      <w:spacing w:line="0" w:lineRule="atLeast"/>
                                      <w:jc w:val="center"/>
                                      <w:rPr>
                                        <w:rFonts w:ascii="Times New Roman" w:eastAsia="Times New Roman" w:hAnsi="Times New Roman" w:cs="Times New Roman"/>
                                        <w:sz w:val="2"/>
                                        <w:szCs w:val="2"/>
                                        <w:lang w:eastAsia="de-DE"/>
                                      </w:rPr>
                                    </w:pPr>
                                    <w:r w:rsidRPr="00533493">
                                      <w:rPr>
                                        <w:rFonts w:ascii="Times New Roman" w:eastAsia="Times New Roman" w:hAnsi="Times New Roman" w:cs="Times New Roman"/>
                                        <w:sz w:val="2"/>
                                        <w:szCs w:val="2"/>
                                        <w:lang w:eastAsia="de-DE"/>
                                      </w:rPr>
                                      <w:fldChar w:fldCharType="begin"/>
                                    </w:r>
                                    <w:r w:rsidRPr="00533493">
                                      <w:rPr>
                                        <w:rFonts w:ascii="Times New Roman" w:eastAsia="Times New Roman" w:hAnsi="Times New Roman" w:cs="Times New Roman"/>
                                        <w:sz w:val="2"/>
                                        <w:szCs w:val="2"/>
                                        <w:lang w:eastAsia="de-DE"/>
                                      </w:rPr>
                                      <w:instrText xml:space="preserve"> INCLUDEPICTURE "cid:FWMAIL84a4f5b76b7f888deb04a81fc74adbb9" \* MERGEFORMATINET </w:instrText>
                                    </w:r>
                                    <w:r w:rsidRPr="00533493">
                                      <w:rPr>
                                        <w:rFonts w:ascii="Times New Roman" w:eastAsia="Times New Roman" w:hAnsi="Times New Roman" w:cs="Times New Roman"/>
                                        <w:sz w:val="2"/>
                                        <w:szCs w:val="2"/>
                                        <w:lang w:eastAsia="de-DE"/>
                                      </w:rPr>
                                      <w:fldChar w:fldCharType="separate"/>
                                    </w:r>
                                    <w:r w:rsidRPr="00533493">
                                      <w:rPr>
                                        <w:rFonts w:ascii="Times New Roman" w:eastAsia="Times New Roman" w:hAnsi="Times New Roman" w:cs="Times New Roman"/>
                                        <w:noProof/>
                                        <w:sz w:val="2"/>
                                        <w:szCs w:val="2"/>
                                        <w:lang w:eastAsia="de-DE"/>
                                      </w:rPr>
                                      <mc:AlternateContent>
                                        <mc:Choice Requires="wps">
                                          <w:drawing>
                                            <wp:inline distT="0" distB="0" distL="0" distR="0" wp14:anchorId="1C29AC07" wp14:editId="61B7F2BE">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C73D3"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&#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B0n8xM5wEAAMM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533493">
                                      <w:rPr>
                                        <w:rFonts w:ascii="Times New Roman" w:eastAsia="Times New Roman" w:hAnsi="Times New Roman" w:cs="Times New Roman"/>
                                        <w:sz w:val="2"/>
                                        <w:szCs w:val="2"/>
                                        <w:lang w:eastAsia="de-DE"/>
                                      </w:rPr>
                                      <w:fldChar w:fldCharType="end"/>
                                    </w:r>
                                  </w:p>
                                </w:tc>
                              </w:tr>
                            </w:tbl>
                            <w:p w14:paraId="13F834D2"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r w:rsidR="00533493" w:rsidRPr="00533493" w14:paraId="258579AE" w14:textId="77777777">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533493" w:rsidRPr="00533493" w14:paraId="0A68BD24" w14:textId="77777777">
                                <w:trPr>
                                  <w:jc w:val="center"/>
                                </w:trPr>
                                <w:tc>
                                  <w:tcPr>
                                    <w:tcW w:w="0" w:type="auto"/>
                                    <w:vAlign w:val="center"/>
                                    <w:hideMark/>
                                  </w:tcPr>
                                  <w:p w14:paraId="448E5954" w14:textId="77777777" w:rsidR="00533493" w:rsidRPr="00533493" w:rsidRDefault="00533493" w:rsidP="00533493">
                                    <w:pPr>
                                      <w:spacing w:line="300" w:lineRule="atLeast"/>
                                      <w:rPr>
                                        <w:rFonts w:ascii="Arial" w:eastAsia="Times New Roman" w:hAnsi="Arial" w:cs="Arial"/>
                                        <w:color w:val="000000"/>
                                        <w:lang w:eastAsia="de-DE"/>
                                      </w:rPr>
                                    </w:pPr>
                                    <w:r w:rsidRPr="00533493">
                                      <w:rPr>
                                        <w:rFonts w:ascii="Arial" w:eastAsia="Times New Roman" w:hAnsi="Arial" w:cs="Arial"/>
                                        <w:b/>
                                        <w:bCs/>
                                        <w:color w:val="2ECC71"/>
                                        <w:lang w:eastAsia="de-DE"/>
                                      </w:rPr>
                                      <w:t>10 Jahre „Bauernhof im Koffer“ – Herzlichen Glückwunsch</w:t>
                                    </w:r>
                                  </w:p>
                                  <w:p w14:paraId="2405B7CB" w14:textId="77777777" w:rsidR="00533493" w:rsidRPr="00533493" w:rsidRDefault="00533493" w:rsidP="00533493">
                                    <w:pPr>
                                      <w:spacing w:line="225" w:lineRule="atLeast"/>
                                      <w:rPr>
                                        <w:rFonts w:ascii="Arial" w:eastAsia="Times New Roman" w:hAnsi="Arial" w:cs="Arial"/>
                                        <w:color w:val="000000"/>
                                        <w:sz w:val="18"/>
                                        <w:szCs w:val="18"/>
                                        <w:lang w:eastAsia="de-DE"/>
                                      </w:rPr>
                                    </w:pPr>
                                    <w:r w:rsidRPr="00533493">
                                      <w:rPr>
                                        <w:rFonts w:ascii="Arial" w:eastAsia="Times New Roman" w:hAnsi="Arial" w:cs="Arial"/>
                                        <w:color w:val="000000"/>
                                        <w:sz w:val="18"/>
                                        <w:szCs w:val="18"/>
                                        <w:lang w:eastAsia="de-DE"/>
                                      </w:rPr>
                                      <w:t> </w:t>
                                    </w:r>
                                    <w:r w:rsidRPr="00533493">
                                      <w:rPr>
                                        <w:rFonts w:ascii="Arial" w:eastAsia="Times New Roman" w:hAnsi="Arial" w:cs="Arial"/>
                                        <w:color w:val="000000"/>
                                        <w:sz w:val="18"/>
                                        <w:szCs w:val="18"/>
                                        <w:lang w:eastAsia="de-DE"/>
                                      </w:rPr>
                                      <w:br/>
                                      <w:t xml:space="preserve">Seit 10 Jahren ist er aus der Bildungslandschaft im Rheinisch-Bergischen und Oberbergischen Kreis nicht mehr wegzudenken: Der „Bauernhof im Koffer“ ist ein vielfältiges und ganzheitliches Bildungsangebot rund um den Bauernhof – in Kindergärten, Schulen, offenen Ganztagesschulen, Freizeiteinrichtungen und Familienzentren. Er führt Kinder ab 5 Jahren mit allen Sinnen durch die Zusammenhänge von Jahreszeiten, landwirtschaftlicher Erzeugung und unseren Lebensmitteln auf dem Teller. Mit frühen Erfahrungen zu Herkunft, </w:t>
                                    </w:r>
                                    <w:proofErr w:type="spellStart"/>
                                    <w:r w:rsidRPr="00533493">
                                      <w:rPr>
                                        <w:rFonts w:ascii="Arial" w:eastAsia="Times New Roman" w:hAnsi="Arial" w:cs="Arial"/>
                                        <w:color w:val="000000"/>
                                        <w:sz w:val="18"/>
                                        <w:szCs w:val="18"/>
                                        <w:lang w:eastAsia="de-DE"/>
                                      </w:rPr>
                                      <w:t>Saisonalität</w:t>
                                    </w:r>
                                    <w:proofErr w:type="spellEnd"/>
                                    <w:r w:rsidRPr="00533493">
                                      <w:rPr>
                                        <w:rFonts w:ascii="Arial" w:eastAsia="Times New Roman" w:hAnsi="Arial" w:cs="Arial"/>
                                        <w:color w:val="000000"/>
                                        <w:sz w:val="18"/>
                                        <w:szCs w:val="18"/>
                                        <w:lang w:eastAsia="de-DE"/>
                                      </w:rPr>
                                      <w:t xml:space="preserve"> und Regionalität können Kinder so ihre eigene Haltung zur Natur und gesunder Lebensweise entwickeln. Altersgerecht und didaktisch ansprechend aufbereitet ist er gut integrierbar und kombinierbar mit jedem pädagogischen Tagesverlauf.</w:t>
                                    </w:r>
                                    <w:r w:rsidRPr="00533493">
                                      <w:rPr>
                                        <w:rFonts w:ascii="Arial" w:eastAsia="Times New Roman" w:hAnsi="Arial" w:cs="Arial"/>
                                        <w:color w:val="000000"/>
                                        <w:sz w:val="18"/>
                                        <w:szCs w:val="18"/>
                                        <w:lang w:eastAsia="de-DE"/>
                                      </w:rPr>
                                      <w:br/>
                                      <w:t> </w:t>
                                    </w:r>
                                    <w:r w:rsidRPr="00533493">
                                      <w:rPr>
                                        <w:rFonts w:ascii="Arial" w:eastAsia="Times New Roman" w:hAnsi="Arial" w:cs="Arial"/>
                                        <w:color w:val="000000"/>
                                        <w:sz w:val="18"/>
                                        <w:szCs w:val="18"/>
                                        <w:lang w:eastAsia="de-DE"/>
                                      </w:rPr>
                                      <w:br/>
                                      <w:t>Ideal ist er zur Vor- und Nachbereitung eines Bauernhofbesuchs. So wissen die Kinder schon, was sie auf dem Bauernhof erwartet, oder sie können die Erlebnisse mit den Tieren und Pflanzen nochmals aufgreifen und verfestigen. Mehr Infos gibt es unter </w:t>
                                    </w:r>
                                    <w:hyperlink r:id="rId4" w:history="1">
                                      <w:r w:rsidRPr="00533493">
                                        <w:rPr>
                                          <w:rFonts w:ascii="Arial" w:eastAsia="Times New Roman" w:hAnsi="Arial" w:cs="Arial"/>
                                          <w:color w:val="2A17BA"/>
                                          <w:sz w:val="18"/>
                                          <w:szCs w:val="18"/>
                                          <w:u w:val="single"/>
                                          <w:bdr w:val="none" w:sz="0" w:space="0" w:color="auto" w:frame="1"/>
                                          <w:lang w:eastAsia="de-DE"/>
                                        </w:rPr>
                                        <w:t>www.bauernhof-i</w:t>
                                      </w:r>
                                      <w:r w:rsidRPr="00533493">
                                        <w:rPr>
                                          <w:rFonts w:ascii="Arial" w:eastAsia="Times New Roman" w:hAnsi="Arial" w:cs="Arial"/>
                                          <w:color w:val="2A17BA"/>
                                          <w:sz w:val="18"/>
                                          <w:szCs w:val="18"/>
                                          <w:u w:val="single"/>
                                          <w:bdr w:val="none" w:sz="0" w:space="0" w:color="auto" w:frame="1"/>
                                          <w:lang w:eastAsia="de-DE"/>
                                        </w:rPr>
                                        <w:t>m</w:t>
                                      </w:r>
                                      <w:r w:rsidRPr="00533493">
                                        <w:rPr>
                                          <w:rFonts w:ascii="Arial" w:eastAsia="Times New Roman" w:hAnsi="Arial" w:cs="Arial"/>
                                          <w:color w:val="2A17BA"/>
                                          <w:sz w:val="18"/>
                                          <w:szCs w:val="18"/>
                                          <w:u w:val="single"/>
                                          <w:bdr w:val="none" w:sz="0" w:space="0" w:color="auto" w:frame="1"/>
                                          <w:lang w:eastAsia="de-DE"/>
                                        </w:rPr>
                                        <w:t>-koffer.de.</w:t>
                                      </w:r>
                                    </w:hyperlink>
                                    <w:r w:rsidRPr="00533493">
                                      <w:rPr>
                                        <w:rFonts w:ascii="Arial" w:eastAsia="Times New Roman" w:hAnsi="Arial" w:cs="Arial"/>
                                        <w:color w:val="000000"/>
                                        <w:sz w:val="18"/>
                                        <w:szCs w:val="18"/>
                                        <w:lang w:eastAsia="de-DE"/>
                                      </w:rPr>
                                      <w:br/>
                                    </w:r>
                                    <w:r w:rsidRPr="00533493">
                                      <w:rPr>
                                        <w:rFonts w:ascii="Arial" w:eastAsia="Times New Roman" w:hAnsi="Arial" w:cs="Arial"/>
                                        <w:color w:val="000000"/>
                                        <w:sz w:val="18"/>
                                        <w:szCs w:val="18"/>
                                        <w:lang w:eastAsia="de-DE"/>
                                      </w:rPr>
                                      <w:br/>
                                    </w:r>
                                    <w:r w:rsidRPr="00533493">
                                      <w:rPr>
                                        <w:rFonts w:ascii="Arial" w:eastAsia="Times New Roman" w:hAnsi="Arial" w:cs="Arial"/>
                                        <w:b/>
                                        <w:bCs/>
                                        <w:color w:val="E74C3C"/>
                                        <w:sz w:val="18"/>
                                        <w:szCs w:val="18"/>
                                        <w:lang w:eastAsia="de-DE"/>
                                      </w:rPr>
                                      <w:t>Das Team des STADT UND LAND e.V. gratuliert herzlich und freut sich auf die weitere Zusammenarbeit.</w:t>
                                    </w:r>
                                  </w:p>
                                </w:tc>
                              </w:tr>
                            </w:tbl>
                            <w:p w14:paraId="6F2CD21C"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0C99C548" w14:textId="77777777" w:rsidR="00533493" w:rsidRPr="00533493" w:rsidRDefault="00533493" w:rsidP="00533493">
                        <w:pPr>
                          <w:spacing w:line="15" w:lineRule="atLeast"/>
                          <w:jc w:val="center"/>
                          <w:rPr>
                            <w:rFonts w:ascii="Times New Roman" w:eastAsia="Times New Roman" w:hAnsi="Times New Roman" w:cs="Times New Roman"/>
                            <w:sz w:val="2"/>
                            <w:szCs w:val="2"/>
                            <w:lang w:eastAsia="de-DE"/>
                          </w:rPr>
                        </w:pPr>
                      </w:p>
                    </w:tc>
                  </w:tr>
                </w:tbl>
                <w:p w14:paraId="559ECC11" w14:textId="77777777" w:rsidR="00533493" w:rsidRPr="00533493" w:rsidRDefault="00533493" w:rsidP="00533493">
                  <w:pPr>
                    <w:jc w:val="center"/>
                    <w:rPr>
                      <w:rFonts w:ascii="Times New Roman" w:eastAsia="Times New Roman" w:hAnsi="Times New Roman" w:cs="Times New Roman"/>
                      <w:lang w:eastAsia="de-DE"/>
                    </w:rPr>
                  </w:pPr>
                </w:p>
              </w:tc>
            </w:tr>
          </w:tbl>
          <w:p w14:paraId="62C61F9E" w14:textId="77777777" w:rsidR="00533493" w:rsidRPr="00533493" w:rsidRDefault="00533493" w:rsidP="00533493">
            <w:pPr>
              <w:jc w:val="center"/>
              <w:rPr>
                <w:rFonts w:ascii="Helvetica" w:eastAsia="Times New Roman" w:hAnsi="Helvetica" w:cs="Times New Roman"/>
                <w:color w:val="000000"/>
                <w:sz w:val="18"/>
                <w:szCs w:val="18"/>
                <w:lang w:eastAsia="de-DE"/>
              </w:rPr>
            </w:pPr>
          </w:p>
        </w:tc>
      </w:tr>
    </w:tbl>
    <w:p w14:paraId="36A5C634" w14:textId="77777777" w:rsidR="004C4616" w:rsidRDefault="004C4616"/>
    <w:sectPr w:rsidR="004C46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4C4616"/>
    <w:rsid w:val="00533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59ECFD"/>
  <w15:chartTrackingRefBased/>
  <w15:docId w15:val="{A381A7DF-345A-304F-A04A-01292667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3493"/>
    <w:rPr>
      <w:b/>
      <w:bCs/>
    </w:rPr>
  </w:style>
  <w:style w:type="character" w:customStyle="1" w:styleId="apple-converted-space">
    <w:name w:val="apple-converted-space"/>
    <w:basedOn w:val="Absatz-Standardschriftart"/>
    <w:rsid w:val="00533493"/>
  </w:style>
  <w:style w:type="character" w:styleId="Hyperlink">
    <w:name w:val="Hyperlink"/>
    <w:basedOn w:val="Absatz-Standardschriftart"/>
    <w:uiPriority w:val="99"/>
    <w:semiHidden/>
    <w:unhideWhenUsed/>
    <w:rsid w:val="00533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79671">
      <w:bodyDiv w:val="1"/>
      <w:marLeft w:val="0"/>
      <w:marRight w:val="0"/>
      <w:marTop w:val="0"/>
      <w:marBottom w:val="0"/>
      <w:divBdr>
        <w:top w:val="none" w:sz="0" w:space="0" w:color="auto"/>
        <w:left w:val="none" w:sz="0" w:space="0" w:color="auto"/>
        <w:bottom w:val="none" w:sz="0" w:space="0" w:color="auto"/>
        <w:right w:val="none" w:sz="0" w:space="0" w:color="auto"/>
      </w:divBdr>
      <w:divsChild>
        <w:div w:id="167814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x-webdoc://9EC3EECF-041A-4810-AB25-735450D15EF7/bauernhof-im-koff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Barbara Steinrück</dc:creator>
  <cp:keywords/>
  <dc:description/>
  <cp:lastModifiedBy>Dr. Barbara Steinrück</cp:lastModifiedBy>
  <cp:revision>1</cp:revision>
  <dcterms:created xsi:type="dcterms:W3CDTF">2021-05-12T15:39:00Z</dcterms:created>
  <dcterms:modified xsi:type="dcterms:W3CDTF">2021-05-12T15:40:00Z</dcterms:modified>
</cp:coreProperties>
</file>